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0.jpeg" ContentType="image/jpeg"/>
  <Override PartName="/word/media/image19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78740</wp:posOffset>
            </wp:positionH>
            <wp:positionV relativeFrom="paragraph">
              <wp:posOffset>128270</wp:posOffset>
            </wp:positionV>
            <wp:extent cx="1383665" cy="54292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 в контейнере.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sz w:val="28"/>
          <w:szCs w:val="28"/>
          <w:lang w:val="en-US" w:eastAsia="ru-RU"/>
        </w:rPr>
        <w:t>HG</w:t>
      </w:r>
      <w:r>
        <w:rPr>
          <w:rFonts w:eastAsia="Times New Roman" w:cs="Calibri"/>
          <w:b/>
          <w:sz w:val="28"/>
          <w:szCs w:val="28"/>
          <w:lang w:eastAsia="ru-RU"/>
        </w:rPr>
        <w:t>12-380</w:t>
      </w:r>
      <w:r>
        <w:rPr>
          <w:rFonts w:eastAsia="Times New Roman" w:cs="Calibri"/>
          <w:b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(11,0 кВт)</w:t>
      </w:r>
      <w:r>
        <w:rPr>
          <w:rFonts w:eastAsia="Times New Roman" w:cs="Calibri"/>
          <w:b/>
          <w:bCs/>
          <w:sz w:val="28"/>
          <w:szCs w:val="28"/>
          <w:lang w:eastAsia="ru-RU"/>
        </w:rPr>
        <w:t>.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1873250</wp:posOffset>
            </wp:positionH>
            <wp:positionV relativeFrom="paragraph">
              <wp:posOffset>167005</wp:posOffset>
            </wp:positionV>
            <wp:extent cx="1602105" cy="1345565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32" t="3231" r="568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center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cs="Arial" w:ascii="Arial" w:hAnsi="Arial"/>
          <w:b/>
          <w:sz w:val="18"/>
          <w:szCs w:val="18"/>
          <w:lang w:val="en-US"/>
        </w:rPr>
        <w:t>HONDA 690</w:t>
      </w:r>
      <w:r>
        <w:rPr>
          <w:rFonts w:cs="Arial" w:ascii="Arial" w:hAnsi="Arial"/>
          <w:b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бесщеточный альтернатор </w:t>
      </w:r>
      <w:r>
        <w:rPr>
          <w:rFonts w:cs="Arial" w:ascii="Arial" w:hAnsi="Arial"/>
          <w:b/>
          <w:sz w:val="18"/>
          <w:szCs w:val="18"/>
        </w:rPr>
        <w:t>(Италия);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-40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электростанция с пониженным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3"/>
        <w:gridCol w:w="4181"/>
      </w:tblGrid>
      <w:tr>
        <w:trPr>
          <w:trHeight w:val="274" w:hRule="atLeast"/>
          <w:cantSplit w:val="false"/>
        </w:trPr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HG12</w:t>
            </w:r>
            <w:r>
              <w:rPr>
                <w:b/>
              </w:rPr>
              <w:t>-380</w:t>
            </w:r>
            <w:r>
              <w:rPr>
                <w:b/>
                <w:lang w:val="en-US"/>
              </w:rPr>
              <w:t xml:space="preserve">S 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кВт/10,0 кВт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кВт/11,0 кВт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В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А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 кг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х6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0х9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18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HONDA 690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см3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,9 л.с./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,8 кВт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60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27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14" w:hRule="atLeast"/>
          <w:cantSplit w:val="false"/>
        </w:trPr>
        <w:tc>
          <w:tcPr>
            <w:tcW w:w="56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d68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jpeg"/><Relationship Id="rId3" Type="http://schemas.openxmlformats.org/officeDocument/2006/relationships/image" Target="media/image20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2013-02-12T06:26:00Z</cp:lastPrinted>
  <dcterms:modified xsi:type="dcterms:W3CDTF">2015-11-23T08:49:00Z</dcterms:modified>
  <cp:revision>71</cp:revision>
</cp:coreProperties>
</file>